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59905F" w14:textId="77777777" w:rsidR="00C2411A" w:rsidRDefault="00C2411A"/>
    <w:p w14:paraId="150482FA" w14:textId="77777777" w:rsidR="00C2411A" w:rsidRDefault="00000000">
      <w:r>
        <w:t xml:space="preserve">     </w:t>
      </w:r>
    </w:p>
    <w:p w14:paraId="69216AF6" w14:textId="77777777" w:rsidR="00C2411A" w:rsidRDefault="00000000">
      <w:pPr>
        <w:jc w:val="center"/>
        <w:rPr>
          <w:rFonts w:ascii="Arial" w:eastAsia="Arial" w:hAnsi="Arial" w:cs="Arial"/>
          <w:b/>
          <w:bCs/>
          <w:sz w:val="32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</w:rPr>
        <w:t>Custom Integrators Can Now Embed Warranty Revenue Directly into Every AV Proposal on Specifi using SureBright</w:t>
      </w:r>
    </w:p>
    <w:p w14:paraId="42115DC5" w14:textId="77777777" w:rsidR="00C2411A" w:rsidRDefault="00000000">
      <w:r>
        <w:rPr>
          <w:rFonts w:ascii="Arial" w:eastAsia="Arial" w:hAnsi="Arial" w:cs="Arial"/>
        </w:rPr>
        <w:t xml:space="preserve"> </w:t>
      </w:r>
    </w:p>
    <w:p w14:paraId="2F4738D1" w14:textId="0D671E67" w:rsidR="00C2411A" w:rsidRDefault="00000000">
      <w:pPr>
        <w:jc w:val="center"/>
        <w:rPr>
          <w:rFonts w:ascii="Arial" w:eastAsia="Arial" w:hAnsi="Arial" w:cs="Arial"/>
          <w:b/>
          <w:bCs/>
          <w:i/>
          <w:iCs/>
        </w:rPr>
      </w:pPr>
      <w:r>
        <w:rPr>
          <w:rFonts w:ascii="Arial" w:eastAsia="Arial" w:hAnsi="Arial" w:cs="Arial"/>
          <w:b/>
          <w:bCs/>
          <w:i/>
          <w:iCs/>
        </w:rPr>
        <w:t>A new integration between SureBright and Specifi lets dealers price warranty coverage into every project- closing a gap that has quietly eroded service margins for custom installers for years</w:t>
      </w:r>
    </w:p>
    <w:p w14:paraId="5A5B7321" w14:textId="77777777" w:rsidR="00C2411A" w:rsidRDefault="00000000">
      <w:r>
        <w:rPr>
          <w:rFonts w:ascii="Arial" w:eastAsia="Arial" w:hAnsi="Arial" w:cs="Arial"/>
        </w:rPr>
        <w:t xml:space="preserve"> </w:t>
      </w:r>
    </w:p>
    <w:p w14:paraId="015CA497" w14:textId="77777777" w:rsidR="00C2411A" w:rsidRDefault="00000000">
      <w:pPr>
        <w:spacing w:line="360" w:lineRule="auto"/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NEW YORK 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—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 May 12, 2026 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— </w:t>
      </w:r>
      <w:r>
        <w:rPr>
          <w:rFonts w:ascii="Arial" w:eastAsia="Arial" w:hAnsi="Arial" w:cs="Arial"/>
          <w:sz w:val="22"/>
          <w:szCs w:val="22"/>
        </w:rPr>
        <w:t xml:space="preserve">AV integrators using </w:t>
      </w:r>
      <w:hyperlink r:id="rId7">
        <w:r>
          <w:rPr>
            <w:rFonts w:ascii="Arial" w:eastAsia="Arial" w:hAnsi="Arial" w:cs="Arial"/>
            <w:color w:val="0000FF"/>
            <w:sz w:val="22"/>
            <w:szCs w:val="22"/>
            <w:u w:val="single"/>
          </w:rPr>
          <w:t>Specifi</w:t>
        </w:r>
      </w:hyperlink>
      <w:r>
        <w:rPr>
          <w:rFonts w:ascii="Arial" w:eastAsia="Arial" w:hAnsi="Arial" w:cs="Arial"/>
          <w:sz w:val="22"/>
          <w:szCs w:val="22"/>
        </w:rPr>
        <w:t xml:space="preserve"> can now include whole-system warranty coverage as a standard line item in every proposal they build- from within their existing setup. The capability comes through a new integration with </w:t>
      </w:r>
      <w:hyperlink r:id="rId8">
        <w:r>
          <w:rPr>
            <w:rFonts w:ascii="Arial" w:eastAsia="Arial" w:hAnsi="Arial" w:cs="Arial"/>
            <w:color w:val="0000FF"/>
            <w:sz w:val="22"/>
            <w:szCs w:val="22"/>
            <w:u w:val="single"/>
          </w:rPr>
          <w:t>SureBright</w:t>
        </w:r>
      </w:hyperlink>
      <w:r>
        <w:rPr>
          <w:rFonts w:ascii="Arial" w:eastAsia="Arial" w:hAnsi="Arial" w:cs="Arial"/>
          <w:sz w:val="22"/>
          <w:szCs w:val="22"/>
        </w:rPr>
        <w:t>, whose Whole-System Warranty program covers entire custom installations under a single plan, including parts, labor, and professional re-installation.</w:t>
      </w:r>
    </w:p>
    <w:p w14:paraId="5A22E209" w14:textId="77777777" w:rsidR="00C2411A" w:rsidRDefault="00C2411A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0746616B" w14:textId="776E28D5" w:rsidR="00C2411A" w:rsidRDefault="00000000">
      <w:pPr>
        <w:spacing w:line="360" w:lineRule="auto"/>
      </w:pPr>
      <w:r>
        <w:rPr>
          <w:rFonts w:ascii="Arial" w:eastAsia="Arial" w:hAnsi="Arial" w:cs="Arial"/>
          <w:sz w:val="22"/>
          <w:szCs w:val="22"/>
        </w:rPr>
        <w:t>The integration works within Specifi</w:t>
      </w:r>
      <w:r w:rsidR="001C0E9C">
        <w:rPr>
          <w:rFonts w:ascii="Arial" w:eastAsia="Arial" w:hAnsi="Arial" w:cs="Arial"/>
          <w:sz w:val="22"/>
          <w:szCs w:val="22"/>
        </w:rPr>
        <w:t>’</w:t>
      </w:r>
      <w:r>
        <w:rPr>
          <w:rFonts w:ascii="Arial" w:eastAsia="Arial" w:hAnsi="Arial" w:cs="Arial"/>
          <w:sz w:val="22"/>
          <w:szCs w:val="22"/>
        </w:rPr>
        <w:t>s existing proposal workflow, meaning dealers don't need a separate tool, a new process, or additional training. Coverage can be priced into the project, passed through to the client, or presented as a standalone option depending on how the business is structured.</w:t>
      </w:r>
    </w:p>
    <w:p w14:paraId="32140543" w14:textId="77777777" w:rsidR="00C2411A" w:rsidRDefault="00000000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</w:t>
      </w:r>
    </w:p>
    <w:p w14:paraId="451AA871" w14:textId="77777777" w:rsidR="00C2411A" w:rsidRDefault="00000000">
      <w:pPr>
        <w:spacing w:line="360" w:lineRule="auto"/>
      </w:pPr>
      <w:r>
        <w:rPr>
          <w:rFonts w:ascii="Arial" w:eastAsia="Arial" w:hAnsi="Arial" w:cs="Arial"/>
          <w:sz w:val="22"/>
          <w:szCs w:val="22"/>
        </w:rPr>
        <w:t>When a product falls outside its original warranty, the cost of the service call, replacement, and labor is typically absorbed by the integrator with no reimbursement. By embedding Whole-System Warranty into the proposal process, dealers can price coverage into the project from the start, protecting their margin on work already sold.</w:t>
      </w:r>
    </w:p>
    <w:p w14:paraId="2ABCCD5F" w14:textId="77777777" w:rsidR="00C2411A" w:rsidRDefault="00C2411A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281F7294" w14:textId="77777777" w:rsidR="00C2411A" w:rsidRDefault="00000000">
      <w:pPr>
        <w:spacing w:line="360" w:lineRule="auto"/>
      </w:pPr>
      <w:r>
        <w:rPr>
          <w:rFonts w:ascii="Arial" w:eastAsia="Arial" w:hAnsi="Arial" w:cs="Arial"/>
          <w:sz w:val="22"/>
          <w:szCs w:val="22"/>
        </w:rPr>
        <w:t>“Specifi has always been focused on helping integrators design, present, and win better projects,” said Matthew Booth, Founder of Specifi. “By integrating SureBright’s Whole-System Warranty directly into our platform, we are giving our users a powerful new way to enhance their proposals and deliver long-term value to their clients.”</w:t>
      </w:r>
    </w:p>
    <w:p w14:paraId="597B7307" w14:textId="77777777" w:rsidR="00C2411A" w:rsidRDefault="00000000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 </w:t>
      </w:r>
    </w:p>
    <w:p w14:paraId="6FF8B685" w14:textId="13F6E7EE" w:rsidR="00C2411A" w:rsidRDefault="00000000">
      <w:pPr>
        <w:spacing w:line="360" w:lineRule="auto"/>
      </w:pPr>
      <w:r>
        <w:rPr>
          <w:rFonts w:ascii="Arial" w:eastAsia="Arial" w:hAnsi="Arial" w:cs="Arial"/>
          <w:sz w:val="22"/>
          <w:szCs w:val="22"/>
        </w:rPr>
        <w:t>For dealers building recurring revenue, the model offers a clear path. Rather than absorbing the financial risk of system failures through a service plan, warranty separates that exposure entirely. Service plans can then focus on what they</w:t>
      </w:r>
      <w:r w:rsidR="001C0E9C">
        <w:rPr>
          <w:rFonts w:ascii="Arial" w:eastAsia="Arial" w:hAnsi="Arial" w:cs="Arial"/>
          <w:sz w:val="22"/>
          <w:szCs w:val="22"/>
        </w:rPr>
        <w:t>’</w:t>
      </w:r>
      <w:r>
        <w:rPr>
          <w:rFonts w:ascii="Arial" w:eastAsia="Arial" w:hAnsi="Arial" w:cs="Arial"/>
          <w:sz w:val="22"/>
          <w:szCs w:val="22"/>
        </w:rPr>
        <w:t>re meant to deliver- ongoing support, optimization, and client retention- without doubling as an insurance policy against hardware failure.</w:t>
      </w:r>
    </w:p>
    <w:p w14:paraId="337F0A7F" w14:textId="77777777" w:rsidR="00C2411A" w:rsidRDefault="00000000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</w:t>
      </w:r>
    </w:p>
    <w:p w14:paraId="2BC27F7B" w14:textId="77777777" w:rsidR="00C2411A" w:rsidRDefault="00000000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lastRenderedPageBreak/>
        <w:t>“Integrators are already designing incredibly sophisticated systems on Specifi,” said Manish Chauhan, CEO of SureBright. “This partnership ensures protection is no longer an afterthought, but a natural extension of the proposal, delivered seamlessly within the tools integrators already use.”</w:t>
      </w:r>
    </w:p>
    <w:p w14:paraId="5FA16740" w14:textId="77777777" w:rsidR="00C2411A" w:rsidRDefault="00000000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</w:t>
      </w:r>
    </w:p>
    <w:p w14:paraId="4E02ECB9" w14:textId="77777777" w:rsidR="00C2411A" w:rsidRDefault="00000000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The Specifi customer portal also gives homeowners visibility into their coverage, creating an ongoing touchpoint between dealer and client that supports longer-term service relationships and streamlines issue resolution. </w:t>
      </w:r>
    </w:p>
    <w:p w14:paraId="61405351" w14:textId="77777777" w:rsidR="00C2411A" w:rsidRDefault="00000000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</w:t>
      </w:r>
    </w:p>
    <w:p w14:paraId="7BC929A8" w14:textId="77777777" w:rsidR="00C2411A" w:rsidRDefault="00000000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The integration is available now within the Specifi platform. Learn more at </w:t>
      </w:r>
      <w:hyperlink r:id="rId9">
        <w:r>
          <w:rPr>
            <w:rFonts w:ascii="Arial" w:eastAsia="Arial" w:hAnsi="Arial" w:cs="Arial"/>
            <w:color w:val="0000FF"/>
            <w:sz w:val="22"/>
            <w:szCs w:val="22"/>
            <w:u w:val="single"/>
          </w:rPr>
          <w:t>https://www.surebright.com/whole-system-warranty</w:t>
        </w:r>
      </w:hyperlink>
      <w:r>
        <w:rPr>
          <w:rFonts w:ascii="Arial" w:eastAsia="Arial" w:hAnsi="Arial" w:cs="Arial"/>
          <w:sz w:val="22"/>
          <w:szCs w:val="22"/>
        </w:rPr>
        <w:t xml:space="preserve"> and </w:t>
      </w:r>
      <w:hyperlink r:id="rId10">
        <w:r w:rsidRPr="008315C1">
          <w:rPr>
            <w:rFonts w:ascii="Arial" w:eastAsia="Arial" w:hAnsi="Arial" w:cs="Arial"/>
            <w:color w:val="0432FF"/>
            <w:sz w:val="22"/>
            <w:szCs w:val="22"/>
            <w:u w:val="single"/>
          </w:rPr>
          <w:t>https://specifi.io/</w:t>
        </w:r>
      </w:hyperlink>
      <w:r>
        <w:rPr>
          <w:rFonts w:ascii="Arial" w:eastAsia="Arial" w:hAnsi="Arial" w:cs="Arial"/>
          <w:sz w:val="22"/>
          <w:szCs w:val="22"/>
        </w:rPr>
        <w:t xml:space="preserve">. </w:t>
      </w:r>
    </w:p>
    <w:p w14:paraId="6F500D10" w14:textId="77777777" w:rsidR="00C2411A" w:rsidRDefault="00C2411A">
      <w:pPr>
        <w:spacing w:line="360" w:lineRule="auto"/>
      </w:pPr>
    </w:p>
    <w:p w14:paraId="6D120264" w14:textId="77777777" w:rsidR="00C2411A" w:rsidRDefault="00000000">
      <w:pPr>
        <w:spacing w:line="360" w:lineRule="auto"/>
        <w:jc w:val="center"/>
      </w:pPr>
      <w:r>
        <w:rPr>
          <w:rFonts w:ascii="Arial" w:eastAsia="Arial" w:hAnsi="Arial" w:cs="Arial"/>
          <w:color w:val="000000"/>
          <w:sz w:val="22"/>
          <w:szCs w:val="22"/>
        </w:rPr>
        <w:t># # #</w:t>
      </w:r>
    </w:p>
    <w:p w14:paraId="66F29F9A" w14:textId="77777777" w:rsidR="00C2411A" w:rsidRDefault="00000000">
      <w:pPr>
        <w:rPr>
          <w:rFonts w:ascii="Arial" w:eastAsia="Arial" w:hAnsi="Arial" w:cs="Arial"/>
          <w:b/>
          <w:bCs/>
          <w:color w:val="212121"/>
          <w:sz w:val="20"/>
          <w:szCs w:val="20"/>
        </w:rPr>
      </w:pPr>
      <w:r>
        <w:rPr>
          <w:rFonts w:ascii="Arial" w:eastAsia="Arial" w:hAnsi="Arial" w:cs="Arial"/>
          <w:b/>
          <w:bCs/>
          <w:color w:val="212121"/>
          <w:sz w:val="20"/>
          <w:szCs w:val="20"/>
        </w:rPr>
        <w:t>About Specifi.io</w:t>
      </w:r>
    </w:p>
    <w:p w14:paraId="04E1B8BB" w14:textId="77777777" w:rsidR="00C2411A" w:rsidRDefault="00000000">
      <w:pPr>
        <w:rPr>
          <w:rFonts w:ascii="Arial" w:eastAsia="Arial" w:hAnsi="Arial" w:cs="Arial"/>
          <w:color w:val="212121"/>
          <w:sz w:val="20"/>
          <w:szCs w:val="20"/>
        </w:rPr>
      </w:pPr>
      <w:r>
        <w:rPr>
          <w:rFonts w:ascii="Arial" w:eastAsia="Arial" w:hAnsi="Arial" w:cs="Arial"/>
          <w:color w:val="212121"/>
          <w:sz w:val="20"/>
          <w:szCs w:val="20"/>
        </w:rPr>
        <w:t>Specifi.io is the AI-driven business operating platform built for AV and custom integration dealers of all sizes. Founded by integrators, Specifi combines proposals, CRM, project management, invoicing, supplier integration, and marketing tools in a single platform with transparent, all-inclusive pricing. Specifi is the winner of the 2023 CEDIA TechStarter Best Start-Up Award. Learn more at</w:t>
      </w:r>
      <w:r w:rsidRPr="008315C1">
        <w:rPr>
          <w:rFonts w:ascii="Arial" w:eastAsia="Arial" w:hAnsi="Arial" w:cs="Arial"/>
          <w:color w:val="0432FF"/>
          <w:sz w:val="20"/>
          <w:szCs w:val="20"/>
        </w:rPr>
        <w:t xml:space="preserve"> </w:t>
      </w:r>
      <w:hyperlink r:id="rId11">
        <w:r w:rsidRPr="008315C1">
          <w:rPr>
            <w:rFonts w:ascii="Arial" w:eastAsia="Arial" w:hAnsi="Arial" w:cs="Arial"/>
            <w:color w:val="0432FF"/>
            <w:sz w:val="20"/>
            <w:szCs w:val="20"/>
            <w:u w:val="single"/>
          </w:rPr>
          <w:t>specifi.io</w:t>
        </w:r>
      </w:hyperlink>
      <w:r>
        <w:rPr>
          <w:rFonts w:ascii="Arial" w:eastAsia="Arial" w:hAnsi="Arial" w:cs="Arial"/>
          <w:color w:val="212121"/>
          <w:sz w:val="20"/>
          <w:szCs w:val="20"/>
        </w:rPr>
        <w:t xml:space="preserve">. </w:t>
      </w:r>
    </w:p>
    <w:p w14:paraId="627892FB" w14:textId="77777777" w:rsidR="00C2411A" w:rsidRDefault="00C2411A">
      <w:pPr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p w14:paraId="46AB981A" w14:textId="77777777" w:rsidR="00C2411A" w:rsidRDefault="00000000">
      <w:pPr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About SureBright</w:t>
      </w:r>
    </w:p>
    <w:p w14:paraId="3FF6ED05" w14:textId="77777777" w:rsidR="00C2411A" w:rsidRDefault="00000000">
      <w:pPr>
        <w:rPr>
          <w:rFonts w:ascii="Arial" w:eastAsia="Arial" w:hAnsi="Arial" w:cs="Arial"/>
          <w:color w:val="1155CC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SureBright enables retailers and channel partners to launch turnkey product warranty and shipping insurance programs in as little as 10 minutes, with zero upfront cost or operational lift. It’s a plug-and-play platform that embeds protection options natively in the purchase or proposal flow, unlocking a new stream of high-margin revenue while deepening customer trust.</w:t>
      </w:r>
      <w:r>
        <w:rPr>
          <w:rFonts w:ascii="Arial" w:eastAsia="Arial" w:hAnsi="Arial" w:cs="Arial"/>
          <w:sz w:val="20"/>
          <w:szCs w:val="20"/>
        </w:rPr>
        <w:br/>
      </w:r>
      <w:r>
        <w:rPr>
          <w:rFonts w:ascii="Arial" w:eastAsia="Arial" w:hAnsi="Arial" w:cs="Arial"/>
          <w:color w:val="000000"/>
          <w:sz w:val="20"/>
          <w:szCs w:val="20"/>
        </w:rPr>
        <w:t xml:space="preserve">SureBright assumes the financial risk, handles all claims and customer support, and stays on top of the regulatory heavy lifting, so that merchants can remain focused on growth. Backed by a customer-first ethos, customizable plans, and Generative AI-driven technology, SureBright turns post-purchase protection into a seamless, brand-building experience for businesses of any size. Learn more at </w:t>
      </w:r>
      <w:hyperlink r:id="rId12">
        <w:r w:rsidRPr="008315C1">
          <w:rPr>
            <w:rFonts w:ascii="Arial" w:eastAsia="Arial" w:hAnsi="Arial" w:cs="Arial"/>
            <w:color w:val="0432FF"/>
            <w:sz w:val="20"/>
            <w:szCs w:val="20"/>
            <w:u w:val="single"/>
          </w:rPr>
          <w:t>www.surebright.com</w:t>
        </w:r>
      </w:hyperlink>
      <w:r>
        <w:rPr>
          <w:rFonts w:ascii="Arial" w:eastAsia="Arial" w:hAnsi="Arial" w:cs="Arial"/>
          <w:color w:val="1155CC"/>
          <w:sz w:val="20"/>
          <w:szCs w:val="20"/>
        </w:rPr>
        <w:t>.</w:t>
      </w:r>
    </w:p>
    <w:p w14:paraId="7EEFAEE8" w14:textId="77777777" w:rsidR="00C2411A" w:rsidRDefault="00C2411A">
      <w:pPr>
        <w:rPr>
          <w:rFonts w:ascii="Arial" w:eastAsia="Arial" w:hAnsi="Arial" w:cs="Arial"/>
          <w:i/>
          <w:iCs/>
          <w:color w:val="000000"/>
          <w:sz w:val="20"/>
          <w:szCs w:val="20"/>
        </w:rPr>
      </w:pPr>
    </w:p>
    <w:p w14:paraId="4C15EF2B" w14:textId="77777777" w:rsidR="00C2411A" w:rsidRDefault="00000000">
      <w:pPr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i/>
          <w:iCs/>
          <w:color w:val="000000"/>
          <w:sz w:val="20"/>
          <w:szCs w:val="20"/>
        </w:rPr>
        <w:t>All product names, logos, and brands are property of their respective owners.</w:t>
      </w:r>
    </w:p>
    <w:p w14:paraId="00852C40" w14:textId="77777777" w:rsidR="00C2411A" w:rsidRDefault="00C2411A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FFF4EBF" w14:textId="77777777" w:rsidR="00C2411A" w:rsidRDefault="00000000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Image Link: </w:t>
      </w:r>
      <w:hyperlink r:id="rId13">
        <w:r w:rsidRPr="008315C1">
          <w:rPr>
            <w:rFonts w:ascii="Arial" w:eastAsia="Arial" w:hAnsi="Arial" w:cs="Arial"/>
            <w:color w:val="0432FF"/>
            <w:sz w:val="20"/>
            <w:szCs w:val="20"/>
            <w:u w:val="single"/>
          </w:rPr>
          <w:t>https://tigglobalpr.com/wp-content</w:t>
        </w:r>
        <w:r w:rsidRPr="008315C1">
          <w:rPr>
            <w:rFonts w:ascii="Arial" w:eastAsia="Arial" w:hAnsi="Arial" w:cs="Arial"/>
            <w:color w:val="0432FF"/>
            <w:sz w:val="20"/>
            <w:szCs w:val="20"/>
            <w:u w:val="single"/>
          </w:rPr>
          <w:t>/</w:t>
        </w:r>
        <w:r w:rsidRPr="008315C1">
          <w:rPr>
            <w:rFonts w:ascii="Arial" w:eastAsia="Arial" w:hAnsi="Arial" w:cs="Arial"/>
            <w:color w:val="0432FF"/>
            <w:sz w:val="20"/>
            <w:szCs w:val="20"/>
            <w:u w:val="single"/>
          </w:rPr>
          <w:t>uploads/2026/05/Post-102-1-2-scaled.png</w:t>
        </w:r>
      </w:hyperlink>
      <w:r w:rsidRPr="008315C1">
        <w:rPr>
          <w:rFonts w:ascii="Arial" w:eastAsia="Arial" w:hAnsi="Arial" w:cs="Arial"/>
          <w:color w:val="0432FF"/>
          <w:sz w:val="20"/>
          <w:szCs w:val="20"/>
        </w:rPr>
        <w:t xml:space="preserve"> </w:t>
      </w:r>
    </w:p>
    <w:p w14:paraId="507CB168" w14:textId="77777777" w:rsidR="00C2411A" w:rsidRDefault="00000000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Image Caption: </w:t>
      </w:r>
      <w:r>
        <w:rPr>
          <w:rFonts w:ascii="Arial" w:eastAsia="Arial" w:hAnsi="Arial" w:cs="Arial"/>
          <w:sz w:val="20"/>
          <w:szCs w:val="20"/>
        </w:rPr>
        <w:t>SureBright brings embedded warranty revenue to AV proposals on Specifi for custom integrators.</w:t>
      </w:r>
    </w:p>
    <w:p w14:paraId="5AAEB4B7" w14:textId="77777777" w:rsidR="00C2411A" w:rsidRDefault="00C2411A">
      <w:pPr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"/>
        <w:tblW w:w="9350" w:type="dxa"/>
        <w:tblInd w:w="-9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C2411A" w14:paraId="00D9E9DD" w14:textId="77777777">
        <w:tc>
          <w:tcPr>
            <w:tcW w:w="4675" w:type="dxa"/>
          </w:tcPr>
          <w:p w14:paraId="7B57AF1D" w14:textId="77777777" w:rsidR="00C2411A" w:rsidRDefault="00000000">
            <w:pP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SureBright </w:t>
            </w: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Company Contact:  </w:t>
            </w:r>
          </w:p>
          <w:p w14:paraId="6DE5D52E" w14:textId="77777777" w:rsidR="00C2411A" w:rsidRDefault="00000000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Rick Albuck</w:t>
            </w:r>
          </w:p>
          <w:p w14:paraId="25304A43" w14:textId="77777777" w:rsidR="00C2411A" w:rsidRDefault="00000000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SureBright Chief Growth Officer</w:t>
            </w:r>
          </w:p>
          <w:p w14:paraId="489DAC41" w14:textId="77777777" w:rsidR="00C2411A" w:rsidRDefault="00000000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Tel: +1.215.431.0797</w:t>
            </w:r>
          </w:p>
          <w:p w14:paraId="63E61121" w14:textId="77777777" w:rsidR="00C2411A" w:rsidRDefault="00000000">
            <w:pPr>
              <w:rPr>
                <w:rFonts w:ascii="Arial" w:eastAsia="Arial" w:hAnsi="Arial" w:cs="Arial"/>
                <w:color w:val="1155CC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Email: </w:t>
            </w:r>
            <w:hyperlink r:id="rId14">
              <w:r w:rsidRPr="009C152C">
                <w:rPr>
                  <w:rFonts w:ascii="Arial" w:eastAsia="Arial" w:hAnsi="Arial" w:cs="Arial"/>
                  <w:color w:val="0432FF"/>
                  <w:sz w:val="20"/>
                  <w:szCs w:val="20"/>
                  <w:u w:val="single"/>
                </w:rPr>
                <w:t>rick@surebright.com</w:t>
              </w:r>
            </w:hyperlink>
          </w:p>
        </w:tc>
        <w:tc>
          <w:tcPr>
            <w:tcW w:w="4675" w:type="dxa"/>
          </w:tcPr>
          <w:p w14:paraId="0C2BFED3" w14:textId="77777777" w:rsidR="00C2411A" w:rsidRDefault="00000000">
            <w:pP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Media Contact:</w:t>
            </w:r>
          </w:p>
          <w:p w14:paraId="0EDBA458" w14:textId="77777777" w:rsidR="00C2411A" w:rsidRDefault="00000000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Kat Wheeler</w:t>
            </w:r>
          </w:p>
          <w:p w14:paraId="1B3C8695" w14:textId="77777777" w:rsidR="00C2411A" w:rsidRDefault="00000000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TIG Global PR</w:t>
            </w:r>
          </w:p>
          <w:p w14:paraId="7C03C7F5" w14:textId="77777777" w:rsidR="00C2411A" w:rsidRDefault="00000000">
            <w:pPr>
              <w:rPr>
                <w:rFonts w:ascii="Arial" w:eastAsia="Arial" w:hAnsi="Arial" w:cs="Arial"/>
                <w:color w:val="1155CC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Email: </w:t>
            </w:r>
            <w:hyperlink r:id="rId15">
              <w:r w:rsidRPr="009C152C">
                <w:rPr>
                  <w:rFonts w:ascii="Arial" w:eastAsia="Arial" w:hAnsi="Arial" w:cs="Arial"/>
                  <w:color w:val="0432FF"/>
                  <w:sz w:val="20"/>
                  <w:szCs w:val="20"/>
                  <w:u w:val="single"/>
                </w:rPr>
                <w:t>kat@tigglobalpr.com</w:t>
              </w:r>
            </w:hyperlink>
          </w:p>
          <w:p w14:paraId="381B0D4C" w14:textId="77777777" w:rsidR="00C2411A" w:rsidRDefault="00C2411A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14:paraId="42ED812D" w14:textId="77777777" w:rsidR="00C2411A" w:rsidRDefault="00C2411A">
      <w:pPr>
        <w:rPr>
          <w:rFonts w:ascii="Arial" w:eastAsia="Arial" w:hAnsi="Arial" w:cs="Arial"/>
          <w:sz w:val="20"/>
          <w:szCs w:val="20"/>
        </w:rPr>
      </w:pPr>
    </w:p>
    <w:p w14:paraId="2C81768A" w14:textId="77777777" w:rsidR="00C2411A" w:rsidRDefault="00000000">
      <w:pPr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Specifi.io Press Office</w:t>
      </w:r>
    </w:p>
    <w:p w14:paraId="7DAD4D3E" w14:textId="77777777" w:rsidR="00C2411A" w:rsidRDefault="00000000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+0 707-287-1103</w:t>
      </w:r>
    </w:p>
    <w:p w14:paraId="7C793DCE" w14:textId="77777777" w:rsidR="00C2411A" w:rsidRDefault="00000000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Email: </w:t>
      </w:r>
      <w:hyperlink r:id="rId16">
        <w:r>
          <w:rPr>
            <w:rFonts w:ascii="Arial" w:eastAsia="Arial" w:hAnsi="Arial" w:cs="Arial"/>
            <w:color w:val="0000FF"/>
            <w:sz w:val="20"/>
            <w:szCs w:val="20"/>
            <w:u w:val="single"/>
          </w:rPr>
          <w:t>Info@specifi.io</w:t>
        </w:r>
      </w:hyperlink>
    </w:p>
    <w:p w14:paraId="5244F275" w14:textId="77777777" w:rsidR="00C2411A" w:rsidRDefault="00000000">
      <w:pPr>
        <w:rPr>
          <w:rFonts w:ascii="Arial" w:eastAsia="Arial" w:hAnsi="Arial" w:cs="Arial"/>
          <w:sz w:val="20"/>
          <w:szCs w:val="20"/>
        </w:rPr>
      </w:pPr>
      <w:hyperlink r:id="rId17">
        <w:r>
          <w:rPr>
            <w:rFonts w:ascii="Arial" w:eastAsia="Arial" w:hAnsi="Arial" w:cs="Arial"/>
            <w:color w:val="0000FF"/>
            <w:sz w:val="20"/>
            <w:szCs w:val="20"/>
            <w:u w:val="single"/>
          </w:rPr>
          <w:t>specifi.io</w:t>
        </w:r>
      </w:hyperlink>
    </w:p>
    <w:sectPr w:rsidR="00C2411A">
      <w:headerReference w:type="first" r:id="rId18"/>
      <w:pgSz w:w="12240" w:h="15840"/>
      <w:pgMar w:top="1440" w:right="1440" w:bottom="1440" w:left="1440" w:header="74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A8DA4E" w14:textId="77777777" w:rsidR="00750884" w:rsidRDefault="00750884">
      <w:r>
        <w:separator/>
      </w:r>
    </w:p>
  </w:endnote>
  <w:endnote w:type="continuationSeparator" w:id="0">
    <w:p w14:paraId="05023E6D" w14:textId="77777777" w:rsidR="00750884" w:rsidRDefault="007508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805247F-D13D-984B-A041-2F7A60FC6554}"/>
    <w:embedItalic r:id="rId2" w:fontKey="{82B9B8DD-9F0D-6542-8F7F-93574F7C4A7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DEDA06A-F395-4848-8F73-26C25060627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E8D0DBCB-280B-BC48-AD02-00EF871AC3AE}"/>
    <w:embedBold r:id="rId5" w:fontKey="{ACEDA618-0ABD-AF45-9998-4D27600A03A7}"/>
    <w:embedItalic r:id="rId6" w:fontKey="{A1F7BF84-9CE7-7642-AC52-D36B523A8811}"/>
    <w:embedBoldItalic r:id="rId7" w:fontKey="{6791B7FB-B3E0-4246-8401-1C4AE0859ED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4AB76F49-1D1B-3441-8694-C7342941CDD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023BAA" w14:textId="77777777" w:rsidR="00750884" w:rsidRDefault="00750884">
      <w:r>
        <w:separator/>
      </w:r>
    </w:p>
  </w:footnote>
  <w:footnote w:type="continuationSeparator" w:id="0">
    <w:p w14:paraId="36581D44" w14:textId="77777777" w:rsidR="00750884" w:rsidRDefault="007508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9CBFA6" w14:textId="77777777" w:rsidR="00C2411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60FD117F" wp14:editId="679531F7">
          <wp:simplePos x="0" y="0"/>
          <wp:positionH relativeFrom="column">
            <wp:posOffset>-163825</wp:posOffset>
          </wp:positionH>
          <wp:positionV relativeFrom="paragraph">
            <wp:posOffset>-318764</wp:posOffset>
          </wp:positionV>
          <wp:extent cx="2457450" cy="1049655"/>
          <wp:effectExtent l="0" t="0" r="0" b="0"/>
          <wp:wrapSquare wrapText="bothSides" distT="0" distB="0" distL="114300" distR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57450" cy="10496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82"/>
  <w:embedTrueTypeFonts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411A"/>
    <w:rsid w:val="000759DC"/>
    <w:rsid w:val="00087D64"/>
    <w:rsid w:val="001C0E9C"/>
    <w:rsid w:val="005615D3"/>
    <w:rsid w:val="00750884"/>
    <w:rsid w:val="008315C1"/>
    <w:rsid w:val="009C152C"/>
    <w:rsid w:val="00AD4A70"/>
    <w:rsid w:val="00BE546B"/>
    <w:rsid w:val="00C2411A"/>
    <w:rsid w:val="00C85340"/>
    <w:rsid w:val="00D140F6"/>
    <w:rsid w:val="00FC6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EE50C1A"/>
  <w15:docId w15:val="{9B2CC3F6-A3A6-B64B-B501-DC2D15A49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urebright.com" TargetMode="External"/><Relationship Id="rId13" Type="http://schemas.openxmlformats.org/officeDocument/2006/relationships/hyperlink" Target="https://tigglobalpr.com/wp-content/uploads/2026/05/Post-102-1-2-scaled.png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specifi.io/" TargetMode="External"/><Relationship Id="rId12" Type="http://schemas.openxmlformats.org/officeDocument/2006/relationships/hyperlink" Target="http://www.surebright.com" TargetMode="External"/><Relationship Id="rId17" Type="http://schemas.openxmlformats.org/officeDocument/2006/relationships/hyperlink" Target="https://specifi.io/" TargetMode="External"/><Relationship Id="rId2" Type="http://schemas.openxmlformats.org/officeDocument/2006/relationships/styles" Target="styles.xml"/><Relationship Id="rId16" Type="http://schemas.openxmlformats.org/officeDocument/2006/relationships/hyperlink" Target="mailto:Info@specifi.io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specifi.io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kat@tigglobalpr.com" TargetMode="External"/><Relationship Id="rId10" Type="http://schemas.openxmlformats.org/officeDocument/2006/relationships/hyperlink" Target="https://specifi.io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surebright.com/whole-system-warranty" TargetMode="External"/><Relationship Id="rId14" Type="http://schemas.openxmlformats.org/officeDocument/2006/relationships/hyperlink" Target="mailto:rick@surebright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Yu5AVKDffb3zFK+7qJWiK/cBnA==">CgMxLjA4AGpECjVzdWdnZXN0SWRJbXBvcnRhNjBjYTg3Zi0xNjMxLTQ5Y2UtODdlNy0xM2U1ZjRkZWFmYjNfMxILS2F0IFdoZWVsZXJyITFvRWg2bDRmS3FGSXNoYzdPeDVROW9EV1lCb0Y4MUJmbQ==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697</Words>
  <Characters>4360</Characters>
  <Application>Microsoft Office Word</Application>
  <DocSecurity>0</DocSecurity>
  <Lines>99</Lines>
  <Paragraphs>40</Paragraphs>
  <ScaleCrop>false</ScaleCrop>
  <Company/>
  <LinksUpToDate>false</LinksUpToDate>
  <CharactersWithSpaces>5017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Veronica Esbona</cp:lastModifiedBy>
  <cp:revision>12</cp:revision>
  <dcterms:created xsi:type="dcterms:W3CDTF">2026-05-11T18:27:00Z</dcterms:created>
  <dcterms:modified xsi:type="dcterms:W3CDTF">2026-05-11T18:29:00Z</dcterms:modified>
</cp:coreProperties>
</file>